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9E" w:rsidRPr="00AC653F" w:rsidRDefault="001A7A7B">
      <w:pPr>
        <w:rPr>
          <w:rFonts w:ascii="標楷體" w:eastAsia="標楷體" w:hAnsi="標楷體"/>
          <w:b/>
          <w:color w:val="000000" w:themeColor="text1"/>
          <w:sz w:val="32"/>
          <w:szCs w:val="32"/>
        </w:rPr>
      </w:pPr>
      <w:r w:rsidRPr="00AC653F">
        <w:rPr>
          <w:rFonts w:ascii="標楷體" w:eastAsia="標楷體" w:hAnsi="標楷體" w:hint="eastAsia"/>
          <w:b/>
          <w:color w:val="000000" w:themeColor="text1"/>
          <w:sz w:val="32"/>
          <w:szCs w:val="32"/>
        </w:rPr>
        <w:t>臺灣雲林地方法院法官事務分配作業要點</w:t>
      </w:r>
    </w:p>
    <w:p w:rsidR="001A7A7B" w:rsidRPr="00AC653F" w:rsidRDefault="001A7A7B" w:rsidP="001A7A7B">
      <w:pPr>
        <w:jc w:val="right"/>
        <w:rPr>
          <w:rFonts w:ascii="標楷體" w:eastAsia="標楷體" w:hAnsi="標楷體"/>
          <w:color w:val="000000" w:themeColor="text1"/>
          <w:szCs w:val="24"/>
        </w:rPr>
      </w:pPr>
      <w:r w:rsidRPr="00AC653F">
        <w:rPr>
          <w:rFonts w:ascii="標楷體" w:eastAsia="標楷體" w:hAnsi="標楷體" w:hint="eastAsia"/>
          <w:b/>
          <w:color w:val="000000" w:themeColor="text1"/>
          <w:sz w:val="28"/>
          <w:szCs w:val="24"/>
        </w:rPr>
        <w:t xml:space="preserve">                </w:t>
      </w:r>
      <w:r w:rsidRPr="00AC653F">
        <w:rPr>
          <w:rFonts w:ascii="標楷體" w:eastAsia="標楷體" w:hAnsi="標楷體" w:hint="eastAsia"/>
          <w:color w:val="000000" w:themeColor="text1"/>
          <w:szCs w:val="24"/>
        </w:rPr>
        <w:t>民國110年8月24日修訂</w:t>
      </w:r>
    </w:p>
    <w:p w:rsidR="001A7A7B" w:rsidRPr="00AC653F" w:rsidRDefault="001A7A7B" w:rsidP="001A7A7B">
      <w:pPr>
        <w:rPr>
          <w:color w:val="000000" w:themeColor="text1"/>
        </w:rPr>
      </w:pPr>
    </w:p>
    <w:p w:rsidR="001A7A7B" w:rsidRPr="00AC653F" w:rsidRDefault="001A7A7B" w:rsidP="001A7A7B">
      <w:pPr>
        <w:contextualSpacing/>
        <w:jc w:val="both"/>
        <w:rPr>
          <w:rFonts w:ascii="標楷體" w:eastAsia="標楷體" w:hAnsi="標楷體" w:cs="Times New Roman"/>
          <w:b/>
          <w:color w:val="000000" w:themeColor="text1"/>
          <w:szCs w:val="24"/>
        </w:rPr>
      </w:pPr>
      <w:r w:rsidRPr="00AC653F">
        <w:rPr>
          <w:rFonts w:ascii="標楷體" w:eastAsia="標楷體" w:hAnsi="標楷體" w:cs="Times New Roman" w:hint="eastAsia"/>
          <w:b/>
          <w:color w:val="000000" w:themeColor="text1"/>
          <w:szCs w:val="24"/>
        </w:rPr>
        <w:t>第一條</w:t>
      </w:r>
    </w:p>
    <w:p w:rsidR="001A7A7B" w:rsidRPr="00AC653F" w:rsidRDefault="001A7A7B" w:rsidP="001A7A7B">
      <w:pPr>
        <w:rPr>
          <w:rFonts w:ascii="標楷體" w:eastAsia="標楷體" w:hAnsi="標楷體" w:cs="Times New Roman"/>
          <w:color w:val="000000" w:themeColor="text1"/>
          <w:szCs w:val="24"/>
        </w:rPr>
      </w:pPr>
      <w:r w:rsidRPr="00AC653F">
        <w:rPr>
          <w:rFonts w:ascii="標楷體" w:eastAsia="標楷體" w:hAnsi="標楷體" w:cs="Times New Roman" w:hint="eastAsia"/>
          <w:color w:val="000000" w:themeColor="text1"/>
          <w:szCs w:val="24"/>
        </w:rPr>
        <w:t>為公平、合理分配法官事務，順利推動各項法官業務，並兼顧人民訴訟權利，</w:t>
      </w:r>
      <w:proofErr w:type="gramStart"/>
      <w:r w:rsidRPr="00AC653F">
        <w:rPr>
          <w:rFonts w:ascii="標楷體" w:eastAsia="標楷體" w:hAnsi="標楷體" w:cs="Times New Roman" w:hint="eastAsia"/>
          <w:color w:val="000000" w:themeColor="text1"/>
          <w:szCs w:val="24"/>
        </w:rPr>
        <w:t>爰</w:t>
      </w:r>
      <w:proofErr w:type="gramEnd"/>
      <w:r w:rsidRPr="00AC653F">
        <w:rPr>
          <w:rFonts w:ascii="標楷體" w:eastAsia="標楷體" w:hAnsi="標楷體" w:cs="Times New Roman" w:hint="eastAsia"/>
          <w:color w:val="000000" w:themeColor="text1"/>
          <w:szCs w:val="24"/>
        </w:rPr>
        <w:t>依據法院組織法第七十九條、地方法院及其分院處</w:t>
      </w:r>
      <w:proofErr w:type="gramStart"/>
      <w:r w:rsidRPr="00AC653F">
        <w:rPr>
          <w:rFonts w:ascii="標楷體" w:eastAsia="標楷體" w:hAnsi="標楷體" w:cs="Times New Roman" w:hint="eastAsia"/>
          <w:color w:val="000000" w:themeColor="text1"/>
          <w:szCs w:val="24"/>
        </w:rPr>
        <w:t>務</w:t>
      </w:r>
      <w:proofErr w:type="gramEnd"/>
      <w:r w:rsidRPr="00AC653F">
        <w:rPr>
          <w:rFonts w:ascii="標楷體" w:eastAsia="標楷體" w:hAnsi="標楷體" w:cs="Times New Roman" w:hint="eastAsia"/>
          <w:color w:val="000000" w:themeColor="text1"/>
          <w:szCs w:val="24"/>
        </w:rPr>
        <w:t>規程第九十六條、法官會議實施辦法、各級法院法官辦理案件年度司法事務分配辦法（下稱院頒辦法）訂定本要點。</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第二條</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本院法官年度事務分配，除</w:t>
      </w:r>
      <w:proofErr w:type="gramStart"/>
      <w:r w:rsidRPr="00AC653F">
        <w:rPr>
          <w:rFonts w:ascii="標楷體" w:eastAsia="標楷體" w:hAnsi="標楷體" w:hint="eastAsia"/>
          <w:color w:val="000000" w:themeColor="text1"/>
          <w:szCs w:val="24"/>
        </w:rPr>
        <w:t>依院頒辦法</w:t>
      </w:r>
      <w:proofErr w:type="gramEnd"/>
      <w:r w:rsidRPr="00AC653F">
        <w:rPr>
          <w:rFonts w:ascii="標楷體" w:eastAsia="標楷體" w:hAnsi="標楷體" w:hint="eastAsia"/>
          <w:color w:val="000000" w:themeColor="text1"/>
          <w:szCs w:val="24"/>
        </w:rPr>
        <w:t>之規定外，</w:t>
      </w:r>
      <w:proofErr w:type="gramStart"/>
      <w:r w:rsidRPr="00AC653F">
        <w:rPr>
          <w:rFonts w:ascii="標楷體" w:eastAsia="標楷體" w:hAnsi="標楷體" w:hint="eastAsia"/>
          <w:color w:val="000000" w:themeColor="text1"/>
          <w:szCs w:val="24"/>
        </w:rPr>
        <w:t>餘依本</w:t>
      </w:r>
      <w:proofErr w:type="gramEnd"/>
      <w:r w:rsidRPr="00AC653F">
        <w:rPr>
          <w:rFonts w:ascii="標楷體" w:eastAsia="標楷體" w:hAnsi="標楷體" w:hint="eastAsia"/>
          <w:color w:val="000000" w:themeColor="text1"/>
          <w:szCs w:val="24"/>
        </w:rPr>
        <w:t>要點之規定，如有疑義或其他未盡事宜，依前條所列法規辦理。</w:t>
      </w:r>
    </w:p>
    <w:p w:rsidR="001A7A7B" w:rsidRPr="00AC653F" w:rsidRDefault="001A7A7B" w:rsidP="001A7A7B">
      <w:pPr>
        <w:ind w:left="480" w:hangingChars="200" w:hanging="480"/>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第三條</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本院法官，除院長、庭長及候補法官外，應於民事、刑事、少年家事或行政訴訟事務中，選定其一為其辦理之事務。</w:t>
      </w:r>
    </w:p>
    <w:p w:rsidR="001A7A7B" w:rsidRPr="00AC653F" w:rsidRDefault="001A7A7B" w:rsidP="001A7A7B">
      <w:pPr>
        <w:ind w:leftChars="4" w:left="32" w:hangingChars="9" w:hanging="22"/>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民事庭（含簡易庭）、刑事庭應各提供五分之一比例之名額（不足一人以一人計）供未曾辦理或連續三個事務年度以上，未辦理其該次選定之民事審判、刑事審判之法官，依其</w:t>
      </w:r>
      <w:proofErr w:type="gramStart"/>
      <w:r w:rsidRPr="00AC653F">
        <w:rPr>
          <w:rFonts w:ascii="標楷體" w:eastAsia="標楷體" w:hAnsi="標楷體" w:hint="eastAsia"/>
          <w:color w:val="000000" w:themeColor="text1"/>
          <w:szCs w:val="24"/>
        </w:rPr>
        <w:t>請求輪辦之</w:t>
      </w:r>
      <w:proofErr w:type="gramEnd"/>
      <w:r w:rsidRPr="00AC653F">
        <w:rPr>
          <w:rFonts w:ascii="標楷體" w:eastAsia="標楷體" w:hAnsi="標楷體" w:hint="eastAsia"/>
          <w:color w:val="000000" w:themeColor="text1"/>
          <w:szCs w:val="24"/>
        </w:rPr>
        <w:t>。</w:t>
      </w:r>
    </w:p>
    <w:p w:rsidR="001A7A7B" w:rsidRPr="00AC653F" w:rsidRDefault="001A7A7B" w:rsidP="001A7A7B">
      <w:pPr>
        <w:ind w:leftChars="-9" w:hangingChars="9" w:hanging="22"/>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計算前項比例時，應扣除辦理該事務之院長、庭長人數。</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第二項</w:t>
      </w:r>
      <w:proofErr w:type="gramStart"/>
      <w:r w:rsidRPr="00AC653F">
        <w:rPr>
          <w:rFonts w:ascii="標楷體" w:eastAsia="標楷體" w:hAnsi="標楷體" w:hint="eastAsia"/>
          <w:color w:val="000000" w:themeColor="text1"/>
          <w:szCs w:val="24"/>
        </w:rPr>
        <w:t>請求輪辦之</w:t>
      </w:r>
      <w:proofErr w:type="gramEnd"/>
      <w:r w:rsidRPr="00AC653F">
        <w:rPr>
          <w:rFonts w:ascii="標楷體" w:eastAsia="標楷體" w:hAnsi="標楷體" w:hint="eastAsia"/>
          <w:color w:val="000000" w:themeColor="text1"/>
          <w:szCs w:val="24"/>
        </w:rPr>
        <w:t>人數逾該庭</w:t>
      </w:r>
      <w:proofErr w:type="gramStart"/>
      <w:r w:rsidRPr="00AC653F">
        <w:rPr>
          <w:rFonts w:ascii="標楷體" w:eastAsia="標楷體" w:hAnsi="標楷體" w:hint="eastAsia"/>
          <w:color w:val="000000" w:themeColor="text1"/>
          <w:szCs w:val="24"/>
        </w:rPr>
        <w:t>提供輪辦之</w:t>
      </w:r>
      <w:proofErr w:type="gramEnd"/>
      <w:r w:rsidRPr="00AC653F">
        <w:rPr>
          <w:rFonts w:ascii="標楷體" w:eastAsia="標楷體" w:hAnsi="標楷體" w:hint="eastAsia"/>
          <w:color w:val="000000" w:themeColor="text1"/>
          <w:szCs w:val="24"/>
        </w:rPr>
        <w:t>名額時，其排序依本院服務年資較長者優先承辦。於本院服務年資相同者，由期別較前者依序優先承辦。期別相同者，由其碩士、博士論文與選定事務有關者優先承辦。上開條件均相同者，抽籤決定之。</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依第二項</w:t>
      </w:r>
      <w:proofErr w:type="gramStart"/>
      <w:r w:rsidRPr="00AC653F">
        <w:rPr>
          <w:rFonts w:ascii="標楷體" w:eastAsia="標楷體" w:hAnsi="標楷體" w:hint="eastAsia"/>
          <w:color w:val="000000" w:themeColor="text1"/>
          <w:szCs w:val="24"/>
        </w:rPr>
        <w:t>請求輪辦事務</w:t>
      </w:r>
      <w:proofErr w:type="gramEnd"/>
      <w:r w:rsidRPr="00AC653F">
        <w:rPr>
          <w:rFonts w:ascii="標楷體" w:eastAsia="標楷體" w:hAnsi="標楷體" w:hint="eastAsia"/>
          <w:color w:val="000000" w:themeColor="text1"/>
          <w:szCs w:val="24"/>
        </w:rPr>
        <w:t>之法官，其辦理該項事務之</w:t>
      </w:r>
      <w:proofErr w:type="gramStart"/>
      <w:r w:rsidRPr="00AC653F">
        <w:rPr>
          <w:rFonts w:ascii="標楷體" w:eastAsia="標楷體" w:hAnsi="標楷體" w:hint="eastAsia"/>
          <w:color w:val="000000" w:themeColor="text1"/>
          <w:szCs w:val="24"/>
        </w:rPr>
        <w:t>期間，</w:t>
      </w:r>
      <w:proofErr w:type="gramEnd"/>
      <w:r w:rsidRPr="00AC653F">
        <w:rPr>
          <w:rFonts w:ascii="標楷體" w:eastAsia="標楷體" w:hAnsi="標楷體" w:hint="eastAsia"/>
          <w:color w:val="000000" w:themeColor="text1"/>
          <w:szCs w:val="24"/>
        </w:rPr>
        <w:t>除候補</w:t>
      </w:r>
      <w:proofErr w:type="gramStart"/>
      <w:r w:rsidRPr="00AC653F">
        <w:rPr>
          <w:rFonts w:ascii="標楷體" w:eastAsia="標楷體" w:hAnsi="標楷體" w:hint="eastAsia"/>
          <w:color w:val="000000" w:themeColor="text1"/>
          <w:szCs w:val="24"/>
        </w:rPr>
        <w:t>法官輪辦本</w:t>
      </w:r>
      <w:proofErr w:type="gramEnd"/>
      <w:r w:rsidRPr="00AC653F">
        <w:rPr>
          <w:rFonts w:ascii="標楷體" w:eastAsia="標楷體" w:hAnsi="標楷體" w:hint="eastAsia"/>
          <w:color w:val="000000" w:themeColor="text1"/>
          <w:szCs w:val="24"/>
        </w:rPr>
        <w:t>條第六項第二款之事務外，為三個事務分配年度（但至少應滿二年六月以上）。</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候補法官於候補</w:t>
      </w:r>
      <w:proofErr w:type="gramStart"/>
      <w:r w:rsidRPr="00AC653F">
        <w:rPr>
          <w:rFonts w:ascii="標楷體" w:eastAsia="標楷體" w:hAnsi="標楷體" w:hint="eastAsia"/>
          <w:color w:val="000000" w:themeColor="text1"/>
          <w:szCs w:val="24"/>
        </w:rPr>
        <w:t>期間，輪辦</w:t>
      </w:r>
      <w:proofErr w:type="gramEnd"/>
      <w:r w:rsidRPr="00AC653F">
        <w:rPr>
          <w:rFonts w:ascii="標楷體" w:eastAsia="標楷體" w:hAnsi="標楷體" w:hint="eastAsia"/>
          <w:color w:val="000000" w:themeColor="text1"/>
          <w:szCs w:val="24"/>
        </w:rPr>
        <w:t>下列事務，但本院為應業務需要得調整之：</w:t>
      </w:r>
    </w:p>
    <w:p w:rsidR="001A7A7B" w:rsidRPr="00AC653F" w:rsidRDefault="001A7A7B" w:rsidP="001A7A7B">
      <w:pPr>
        <w:ind w:left="480" w:hangingChars="200" w:hanging="480"/>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一、辦理民事、刑事合議案件之陪席法官及受命法官，期間為三年。</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二、獨任辦理民刑事簡易程序事件、民事小額訴訟程序事件或刑事簡式審判程序案件，期間為二年。</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第四條</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本院法官年度事務分配，應由法官會議議決下列事項：</w:t>
      </w:r>
    </w:p>
    <w:p w:rsidR="001A7A7B" w:rsidRPr="00AC653F" w:rsidRDefault="001A7A7B" w:rsidP="001A7A7B">
      <w:pPr>
        <w:ind w:left="480" w:hangingChars="200" w:hanging="480"/>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一、次年度各</w:t>
      </w:r>
      <w:proofErr w:type="gramStart"/>
      <w:r w:rsidRPr="00AC653F">
        <w:rPr>
          <w:rFonts w:ascii="標楷體" w:eastAsia="標楷體" w:hAnsi="標楷體" w:hint="eastAsia"/>
          <w:color w:val="000000" w:themeColor="text1"/>
          <w:szCs w:val="24"/>
        </w:rPr>
        <w:t>股分</w:t>
      </w:r>
      <w:proofErr w:type="gramEnd"/>
      <w:r w:rsidRPr="00AC653F">
        <w:rPr>
          <w:rFonts w:ascii="標楷體" w:eastAsia="標楷體" w:hAnsi="標楷體" w:hint="eastAsia"/>
          <w:color w:val="000000" w:themeColor="text1"/>
          <w:szCs w:val="24"/>
        </w:rPr>
        <w:t>案代號、專辦或兼辦特殊專業類型案件之類別、分案比率、代理次序、合議庭之配置。</w:t>
      </w:r>
    </w:p>
    <w:p w:rsidR="001A7A7B" w:rsidRPr="00AC653F" w:rsidRDefault="001A7A7B" w:rsidP="001A7A7B">
      <w:pPr>
        <w:ind w:left="480" w:hangingChars="200" w:hanging="480"/>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二、各法官於次年度承辦</w:t>
      </w:r>
      <w:proofErr w:type="gramStart"/>
      <w:r w:rsidRPr="00AC653F">
        <w:rPr>
          <w:rFonts w:ascii="標楷體" w:eastAsia="標楷體" w:hAnsi="標楷體" w:hint="eastAsia"/>
          <w:color w:val="000000" w:themeColor="text1"/>
          <w:szCs w:val="24"/>
        </w:rPr>
        <w:t>之股別及</w:t>
      </w:r>
      <w:proofErr w:type="gramEnd"/>
      <w:r w:rsidRPr="00AC653F">
        <w:rPr>
          <w:rFonts w:ascii="標楷體" w:eastAsia="標楷體" w:hAnsi="標楷體" w:hint="eastAsia"/>
          <w:color w:val="000000" w:themeColor="text1"/>
          <w:szCs w:val="24"/>
        </w:rPr>
        <w:t>事務。</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三、不能獨任審判之候補法官，其事務分配，民、刑庭應平衡分配之。</w:t>
      </w:r>
    </w:p>
    <w:p w:rsidR="001A7A7B" w:rsidRPr="00AC653F" w:rsidRDefault="001A7A7B" w:rsidP="001A7A7B">
      <w:pPr>
        <w:ind w:left="480" w:hangingChars="200" w:hanging="480"/>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第五條</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法官辦理民事、刑事（含申請輪辦之事務）、少年及家事與行政訴訟事務，應連續辦滿三個事務分配年度（至少應滿二年六月），始得申請變更其承辦之事務。</w:t>
      </w:r>
      <w:r w:rsidRPr="00AC653F">
        <w:rPr>
          <w:rFonts w:ascii="標楷體" w:eastAsia="標楷體" w:hAnsi="標楷體" w:hint="eastAsia"/>
          <w:color w:val="000000" w:themeColor="text1"/>
          <w:szCs w:val="24"/>
        </w:rPr>
        <w:lastRenderedPageBreak/>
        <w:t>但候補法官辦理本要點第三條第六項第二款之事務，不在此限。</w:t>
      </w:r>
    </w:p>
    <w:p w:rsidR="001A7A7B" w:rsidRPr="00AC653F" w:rsidRDefault="001A7A7B" w:rsidP="001A7A7B">
      <w:pPr>
        <w:ind w:left="480" w:hangingChars="200" w:hanging="480"/>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第六條</w:t>
      </w:r>
    </w:p>
    <w:p w:rsidR="001A7A7B" w:rsidRPr="00AC653F" w:rsidRDefault="001A7A7B" w:rsidP="001A7A7B">
      <w:pPr>
        <w:rPr>
          <w:rFonts w:ascii="標楷體" w:eastAsia="標楷體" w:hAnsi="標楷體"/>
          <w:color w:val="000000" w:themeColor="text1"/>
          <w:szCs w:val="24"/>
        </w:rPr>
      </w:pPr>
      <w:proofErr w:type="gramStart"/>
      <w:r w:rsidRPr="00AC653F">
        <w:rPr>
          <w:rFonts w:ascii="標楷體" w:eastAsia="標楷體" w:hAnsi="標楷體" w:hint="eastAsia"/>
          <w:color w:val="000000" w:themeColor="text1"/>
          <w:szCs w:val="24"/>
        </w:rPr>
        <w:t>各庭兼庭長</w:t>
      </w:r>
      <w:proofErr w:type="gramEnd"/>
      <w:r w:rsidRPr="00AC653F">
        <w:rPr>
          <w:rFonts w:ascii="標楷體" w:eastAsia="標楷體" w:hAnsi="標楷體" w:hint="eastAsia"/>
          <w:color w:val="000000" w:themeColor="text1"/>
          <w:szCs w:val="24"/>
        </w:rPr>
        <w:t>之法官，其辦理案件之比例各</w:t>
      </w:r>
      <w:proofErr w:type="gramStart"/>
      <w:r w:rsidRPr="00AC653F">
        <w:rPr>
          <w:rFonts w:ascii="標楷體" w:eastAsia="標楷體" w:hAnsi="標楷體" w:hint="eastAsia"/>
          <w:color w:val="000000" w:themeColor="text1"/>
          <w:szCs w:val="24"/>
        </w:rPr>
        <w:t>佔</w:t>
      </w:r>
      <w:proofErr w:type="gramEnd"/>
      <w:r w:rsidRPr="00AC653F">
        <w:rPr>
          <w:rFonts w:ascii="標楷體" w:eastAsia="標楷體" w:hAnsi="標楷體" w:hint="eastAsia"/>
          <w:color w:val="000000" w:themeColor="text1"/>
          <w:szCs w:val="24"/>
        </w:rPr>
        <w:t>全股二分之一至六分之一之間。但有特殊情形，經法官會議同意，或志願辦理較多案件者，不在此限。</w:t>
      </w:r>
    </w:p>
    <w:p w:rsidR="001A7A7B" w:rsidRPr="00AC653F" w:rsidRDefault="001A7A7B" w:rsidP="001A7A7B">
      <w:pPr>
        <w:ind w:left="480" w:hangingChars="200" w:hanging="480"/>
        <w:contextualSpacing/>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第七條</w:t>
      </w:r>
    </w:p>
    <w:p w:rsidR="001A7A7B" w:rsidRPr="00AC653F" w:rsidRDefault="001A7A7B" w:rsidP="001A7A7B">
      <w:pPr>
        <w:ind w:leftChars="13" w:left="31"/>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本院人事室宜於法官年度事務分配會議前四十日將志願表註明該法官所選專業類型、已歷練之事務、期間</w:t>
      </w:r>
      <w:proofErr w:type="gramStart"/>
      <w:r w:rsidRPr="00AC653F">
        <w:rPr>
          <w:rFonts w:ascii="標楷體" w:eastAsia="標楷體" w:hAnsi="標楷體" w:hint="eastAsia"/>
          <w:color w:val="000000" w:themeColor="text1"/>
          <w:szCs w:val="24"/>
        </w:rPr>
        <w:t>及院頒辦法</w:t>
      </w:r>
      <w:proofErr w:type="gramEnd"/>
      <w:r w:rsidRPr="00AC653F">
        <w:rPr>
          <w:rFonts w:ascii="標楷體" w:eastAsia="標楷體" w:hAnsi="標楷體" w:hint="eastAsia"/>
          <w:color w:val="000000" w:themeColor="text1"/>
          <w:szCs w:val="24"/>
        </w:rPr>
        <w:t>第15條第2項事項送交各該法官。</w:t>
      </w:r>
    </w:p>
    <w:p w:rsidR="001A7A7B" w:rsidRPr="00AC653F" w:rsidRDefault="001A7A7B" w:rsidP="001A7A7B">
      <w:pPr>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宜於法官年度事務分配會議前三十日填交前項志願表，送交法官司法事務分配小組。法官未填交民、刑事事務各類型案件志願表者，由法官會議參酌其實際辦案情形逕行決定之。其志願順序有不連續者，依其志願數字順序，自一開始視為連續；志願有部分空白者，空白部分視為同類接續有志願部分之最後順序。</w:t>
      </w:r>
    </w:p>
    <w:p w:rsidR="001A7A7B" w:rsidRPr="00AC653F" w:rsidRDefault="001A7A7B" w:rsidP="001A7A7B">
      <w:pPr>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法官填交之志願及意願，於前項志願表繳交期限屆滿後，不得變更或撤回。</w:t>
      </w:r>
    </w:p>
    <w:p w:rsidR="001A7A7B" w:rsidRPr="00AC653F" w:rsidRDefault="001A7A7B" w:rsidP="001A7A7B">
      <w:pPr>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法官年度事務分配議案，宜於法官年度事務分配會議召開前十日分送各法官。各法官並得請求司法事務分配小組提供各法官</w:t>
      </w:r>
      <w:proofErr w:type="gramStart"/>
      <w:r w:rsidRPr="00AC653F">
        <w:rPr>
          <w:rFonts w:ascii="標楷體" w:eastAsia="標楷體" w:hAnsi="標楷體" w:hint="eastAsia"/>
          <w:color w:val="000000" w:themeColor="text1"/>
          <w:szCs w:val="24"/>
        </w:rPr>
        <w:t>志願表影本</w:t>
      </w:r>
      <w:proofErr w:type="gramEnd"/>
      <w:r w:rsidRPr="00AC653F">
        <w:rPr>
          <w:rFonts w:ascii="標楷體" w:eastAsia="標楷體" w:hAnsi="標楷體" w:hint="eastAsia"/>
          <w:color w:val="000000" w:themeColor="text1"/>
          <w:szCs w:val="24"/>
        </w:rPr>
        <w:t>。</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法官對於年度事務分配議案如有修正之意見，宜於法官年度事務分配會議前五日，以書面載明，向院長提出修正案。</w:t>
      </w:r>
    </w:p>
    <w:p w:rsidR="001A7A7B" w:rsidRPr="00AC653F" w:rsidRDefault="001A7A7B" w:rsidP="001A7A7B">
      <w:pPr>
        <w:ind w:left="480" w:hangingChars="200" w:hanging="480"/>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第八條</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法官每年參加研習日數七日以上者，每年</w:t>
      </w:r>
      <w:proofErr w:type="gramStart"/>
      <w:r w:rsidRPr="00AC653F">
        <w:rPr>
          <w:rFonts w:ascii="標楷體" w:eastAsia="標楷體" w:hAnsi="標楷體" w:hint="eastAsia"/>
          <w:color w:val="000000" w:themeColor="text1"/>
          <w:szCs w:val="24"/>
        </w:rPr>
        <w:t>得停分案件</w:t>
      </w:r>
      <w:proofErr w:type="gramEnd"/>
      <w:r w:rsidRPr="00AC653F">
        <w:rPr>
          <w:rFonts w:ascii="標楷體" w:eastAsia="標楷體" w:hAnsi="標楷體" w:hint="eastAsia"/>
          <w:color w:val="000000" w:themeColor="text1"/>
          <w:szCs w:val="24"/>
        </w:rPr>
        <w:t>七日；研習日數不足七日者，按其研習之日數停止分案。</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前項所稱每年，係指當年一月一日起至十二月三十一日止。研習以日計算者，即於當年度一月一日起至十一月三十日</w:t>
      </w:r>
      <w:proofErr w:type="gramStart"/>
      <w:r w:rsidRPr="00AC653F">
        <w:rPr>
          <w:rFonts w:ascii="標楷體" w:eastAsia="標楷體" w:hAnsi="標楷體" w:hint="eastAsia"/>
          <w:color w:val="000000" w:themeColor="text1"/>
          <w:szCs w:val="24"/>
        </w:rPr>
        <w:t>期間，</w:t>
      </w:r>
      <w:proofErr w:type="gramEnd"/>
      <w:r w:rsidRPr="00AC653F">
        <w:rPr>
          <w:rFonts w:ascii="標楷體" w:eastAsia="標楷體" w:hAnsi="標楷體" w:hint="eastAsia"/>
          <w:color w:val="000000" w:themeColor="text1"/>
          <w:szCs w:val="24"/>
        </w:rPr>
        <w:t>簽請院長</w:t>
      </w:r>
      <w:proofErr w:type="gramStart"/>
      <w:r w:rsidRPr="00AC653F">
        <w:rPr>
          <w:rFonts w:ascii="標楷體" w:eastAsia="標楷體" w:hAnsi="標楷體" w:hint="eastAsia"/>
          <w:color w:val="000000" w:themeColor="text1"/>
          <w:szCs w:val="24"/>
        </w:rPr>
        <w:t>許可停分案件</w:t>
      </w:r>
      <w:proofErr w:type="gramEnd"/>
      <w:r w:rsidRPr="00AC653F">
        <w:rPr>
          <w:rFonts w:ascii="標楷體" w:eastAsia="標楷體" w:hAnsi="標楷體" w:hint="eastAsia"/>
          <w:color w:val="000000" w:themeColor="text1"/>
          <w:szCs w:val="24"/>
        </w:rPr>
        <w:t>。但於十二月參加研習者，遞延至翌年至</w:t>
      </w:r>
      <w:proofErr w:type="gramStart"/>
      <w:r w:rsidRPr="00AC653F">
        <w:rPr>
          <w:rFonts w:ascii="標楷體" w:eastAsia="標楷體" w:hAnsi="標楷體" w:hint="eastAsia"/>
          <w:color w:val="000000" w:themeColor="text1"/>
          <w:szCs w:val="24"/>
        </w:rPr>
        <w:t>次年停分案件</w:t>
      </w:r>
      <w:proofErr w:type="gramEnd"/>
      <w:r w:rsidRPr="00AC653F">
        <w:rPr>
          <w:rFonts w:ascii="標楷體" w:eastAsia="標楷體" w:hAnsi="標楷體" w:hint="eastAsia"/>
          <w:color w:val="000000" w:themeColor="text1"/>
          <w:szCs w:val="24"/>
        </w:rPr>
        <w:t>。</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第一項停止分案，辦理同類事務之股數在二股以下者，不停分該類型之案件。</w:t>
      </w:r>
    </w:p>
    <w:p w:rsidR="001A7A7B" w:rsidRPr="00AC653F" w:rsidRDefault="001A7A7B" w:rsidP="001A7A7B">
      <w:pPr>
        <w:ind w:left="480" w:hangingChars="200" w:hanging="480"/>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第九條</w:t>
      </w:r>
    </w:p>
    <w:p w:rsidR="001A7A7B" w:rsidRPr="00AC653F" w:rsidRDefault="001A7A7B" w:rsidP="001A7A7B">
      <w:pPr>
        <w:ind w:leftChars="13" w:left="31"/>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法官除產假</w:t>
      </w:r>
      <w:proofErr w:type="gramStart"/>
      <w:r w:rsidRPr="00AC653F">
        <w:rPr>
          <w:rFonts w:ascii="標楷體" w:eastAsia="標楷體" w:hAnsi="標楷體" w:hint="eastAsia"/>
          <w:color w:val="000000" w:themeColor="text1"/>
          <w:szCs w:val="24"/>
        </w:rPr>
        <w:t>期間停分案件</w:t>
      </w:r>
      <w:proofErr w:type="gramEnd"/>
      <w:r w:rsidRPr="00AC653F">
        <w:rPr>
          <w:rFonts w:ascii="標楷體" w:eastAsia="標楷體" w:hAnsi="標楷體" w:hint="eastAsia"/>
          <w:color w:val="000000" w:themeColor="text1"/>
          <w:szCs w:val="24"/>
        </w:rPr>
        <w:t>外，再加預產期前或產假期滿後一個月減分二分之一案件。</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法官撰寫司法院年度研究報告或因健康上理由，不堪勞累而有客觀之事實者，得檢具相關證明文件，請求法官會議決定，一定期間內停止或減輕辦理一定比例之案件。</w:t>
      </w:r>
    </w:p>
    <w:p w:rsidR="001A7A7B" w:rsidRPr="00AC653F" w:rsidRDefault="001A7A7B" w:rsidP="001A7A7B">
      <w:pPr>
        <w:ind w:left="480" w:hangingChars="200" w:hanging="480"/>
        <w:contextualSpacing/>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第十條</w:t>
      </w:r>
    </w:p>
    <w:p w:rsidR="001A7A7B" w:rsidRPr="00AC653F" w:rsidRDefault="001A7A7B" w:rsidP="001A7A7B">
      <w:pPr>
        <w:snapToGrid w:val="0"/>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法官辦理或兼辦民、刑事審判事務更動時，除下列情形外，應繼續辦理該法官自接辦日起已超過一年以上之案件:</w:t>
      </w:r>
    </w:p>
    <w:p w:rsidR="001A7A7B" w:rsidRPr="00AC653F" w:rsidRDefault="001A7A7B" w:rsidP="001A7A7B">
      <w:pPr>
        <w:pStyle w:val="a4"/>
        <w:numPr>
          <w:ilvl w:val="0"/>
          <w:numId w:val="1"/>
        </w:numPr>
        <w:snapToGrid w:val="0"/>
        <w:ind w:leftChars="0"/>
        <w:rPr>
          <w:rFonts w:ascii="標楷體" w:eastAsia="標楷體" w:hAnsi="標楷體"/>
          <w:color w:val="000000" w:themeColor="text1"/>
          <w:szCs w:val="24"/>
        </w:rPr>
      </w:pPr>
      <w:r w:rsidRPr="00AC653F">
        <w:rPr>
          <w:rFonts w:ascii="標楷體" w:eastAsia="標楷體" w:hAnsi="標楷體" w:hint="eastAsia"/>
          <w:color w:val="000000" w:themeColor="text1"/>
          <w:szCs w:val="24"/>
        </w:rPr>
        <w:t>民事審判：</w:t>
      </w:r>
    </w:p>
    <w:p w:rsidR="001A7A7B" w:rsidRPr="00AC653F" w:rsidRDefault="001A7A7B" w:rsidP="001A7A7B">
      <w:pPr>
        <w:snapToGrid w:val="0"/>
        <w:rPr>
          <w:rFonts w:ascii="標楷體" w:eastAsia="標楷體" w:hAnsi="標楷體"/>
          <w:color w:val="000000" w:themeColor="text1"/>
          <w:szCs w:val="24"/>
        </w:rPr>
      </w:pPr>
      <w:r w:rsidRPr="00AC653F">
        <w:rPr>
          <w:rFonts w:ascii="標楷體" w:eastAsia="MS Mincho" w:hAnsi="MS Mincho" w:cs="MS Mincho" w:hint="eastAsia"/>
          <w:color w:val="000000" w:themeColor="text1"/>
          <w:szCs w:val="24"/>
        </w:rPr>
        <w:t>⒈</w:t>
      </w:r>
      <w:r w:rsidRPr="00AC653F">
        <w:rPr>
          <w:rFonts w:ascii="標楷體" w:eastAsia="標楷體" w:hAnsi="標楷體" w:hint="eastAsia"/>
          <w:color w:val="000000" w:themeColor="text1"/>
          <w:szCs w:val="24"/>
        </w:rPr>
        <w:t>破產案件，</w:t>
      </w:r>
      <w:r w:rsidRPr="00AC653F">
        <w:rPr>
          <w:rFonts w:ascii="標楷體" w:eastAsia="MS Mincho" w:hAnsi="MS Mincho" w:cs="MS Mincho" w:hint="eastAsia"/>
          <w:color w:val="000000" w:themeColor="text1"/>
          <w:szCs w:val="24"/>
        </w:rPr>
        <w:t>⒉</w:t>
      </w:r>
      <w:r w:rsidRPr="00AC653F">
        <w:rPr>
          <w:rFonts w:ascii="標楷體" w:eastAsia="標楷體" w:hAnsi="標楷體" w:hint="eastAsia"/>
          <w:color w:val="000000" w:themeColor="text1"/>
          <w:szCs w:val="24"/>
        </w:rPr>
        <w:t>公司重整案件，</w:t>
      </w:r>
      <w:r w:rsidRPr="00AC653F">
        <w:rPr>
          <w:rFonts w:ascii="標楷體" w:eastAsia="MS Mincho" w:hAnsi="MS Mincho" w:cs="MS Mincho" w:hint="eastAsia"/>
          <w:color w:val="000000" w:themeColor="text1"/>
          <w:szCs w:val="24"/>
        </w:rPr>
        <w:t>⒊</w:t>
      </w:r>
      <w:r w:rsidRPr="00AC653F">
        <w:rPr>
          <w:rFonts w:ascii="標楷體" w:eastAsia="標楷體" w:hAnsi="標楷體" w:hint="eastAsia"/>
          <w:color w:val="000000" w:themeColor="text1"/>
          <w:szCs w:val="24"/>
        </w:rPr>
        <w:t>依法應裁定停止訴訟程序之案件，</w:t>
      </w:r>
      <w:r w:rsidRPr="00AC653F">
        <w:rPr>
          <w:rFonts w:ascii="標楷體" w:eastAsia="MS Mincho" w:hAnsi="MS Mincho" w:cs="MS Mincho" w:hint="eastAsia"/>
          <w:color w:val="000000" w:themeColor="text1"/>
          <w:szCs w:val="24"/>
        </w:rPr>
        <w:t>⒋</w:t>
      </w:r>
      <w:r w:rsidRPr="00AC653F">
        <w:rPr>
          <w:rFonts w:ascii="標楷體" w:eastAsia="標楷體" w:hAnsi="標楷體" w:hint="eastAsia"/>
          <w:color w:val="000000" w:themeColor="text1"/>
          <w:szCs w:val="24"/>
        </w:rPr>
        <w:t>交辦日前三個月已送鑑定（不含測量）案件，但送鑑定前該案件自接辦日起須未逾一年。</w:t>
      </w:r>
    </w:p>
    <w:p w:rsidR="001A7A7B" w:rsidRPr="00AC653F" w:rsidRDefault="001A7A7B" w:rsidP="001A7A7B">
      <w:pPr>
        <w:pStyle w:val="a4"/>
        <w:numPr>
          <w:ilvl w:val="0"/>
          <w:numId w:val="1"/>
        </w:numPr>
        <w:snapToGrid w:val="0"/>
        <w:ind w:leftChars="0"/>
        <w:rPr>
          <w:rFonts w:ascii="標楷體" w:eastAsia="標楷體" w:hAnsi="標楷體"/>
          <w:color w:val="000000" w:themeColor="text1"/>
          <w:szCs w:val="24"/>
        </w:rPr>
      </w:pPr>
      <w:r w:rsidRPr="00AC653F">
        <w:rPr>
          <w:rFonts w:ascii="標楷體" w:eastAsia="標楷體" w:hAnsi="標楷體" w:hint="eastAsia"/>
          <w:color w:val="000000" w:themeColor="text1"/>
          <w:szCs w:val="24"/>
        </w:rPr>
        <w:t>刑事審判：</w:t>
      </w:r>
    </w:p>
    <w:p w:rsidR="001A7A7B" w:rsidRPr="00AC653F" w:rsidRDefault="001A7A7B" w:rsidP="001A7A7B">
      <w:pPr>
        <w:snapToGrid w:val="0"/>
        <w:rPr>
          <w:rFonts w:ascii="標楷體" w:eastAsia="標楷體" w:hAnsi="標楷體"/>
          <w:color w:val="000000" w:themeColor="text1"/>
          <w:szCs w:val="24"/>
        </w:rPr>
      </w:pPr>
      <w:r w:rsidRPr="00AC653F">
        <w:rPr>
          <w:rFonts w:ascii="標楷體" w:eastAsia="MS Mincho" w:hAnsi="MS Mincho" w:cs="MS Mincho" w:hint="eastAsia"/>
          <w:color w:val="000000" w:themeColor="text1"/>
          <w:szCs w:val="24"/>
        </w:rPr>
        <w:t>⒈</w:t>
      </w:r>
      <w:r w:rsidRPr="00AC653F">
        <w:rPr>
          <w:rFonts w:ascii="標楷體" w:eastAsia="標楷體" w:hAnsi="標楷體" w:hint="eastAsia"/>
          <w:color w:val="000000" w:themeColor="text1"/>
          <w:szCs w:val="24"/>
        </w:rPr>
        <w:t>依法應裁定停止之案件，</w:t>
      </w:r>
      <w:r w:rsidRPr="00AC653F">
        <w:rPr>
          <w:rFonts w:ascii="標楷體" w:eastAsia="MS Mincho" w:hAnsi="MS Mincho" w:cs="MS Mincho" w:hint="eastAsia"/>
          <w:color w:val="000000" w:themeColor="text1"/>
          <w:szCs w:val="24"/>
        </w:rPr>
        <w:t>⒉</w:t>
      </w:r>
      <w:r w:rsidRPr="00AC653F">
        <w:rPr>
          <w:rFonts w:ascii="標楷體" w:eastAsia="標楷體" w:hAnsi="標楷體" w:hint="eastAsia"/>
          <w:color w:val="000000" w:themeColor="text1"/>
          <w:szCs w:val="24"/>
        </w:rPr>
        <w:t>接辦日前三個月已送鑑定案件，但送鑑定前該案</w:t>
      </w:r>
      <w:r w:rsidRPr="00AC653F">
        <w:rPr>
          <w:rFonts w:ascii="標楷體" w:eastAsia="標楷體" w:hAnsi="標楷體" w:hint="eastAsia"/>
          <w:color w:val="000000" w:themeColor="text1"/>
          <w:szCs w:val="24"/>
        </w:rPr>
        <w:lastRenderedPageBreak/>
        <w:t>件自接辦日起須未逾一年。</w:t>
      </w:r>
    </w:p>
    <w:p w:rsidR="001A7A7B" w:rsidRPr="00AC653F" w:rsidRDefault="001A7A7B" w:rsidP="001A7A7B">
      <w:pPr>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案件有下列情形之</w:t>
      </w:r>
      <w:proofErr w:type="gramStart"/>
      <w:r w:rsidRPr="00AC653F">
        <w:rPr>
          <w:rFonts w:ascii="標楷體" w:eastAsia="標楷體" w:hAnsi="標楷體" w:hint="eastAsia"/>
          <w:color w:val="000000" w:themeColor="text1"/>
          <w:szCs w:val="24"/>
        </w:rPr>
        <w:t>一</w:t>
      </w:r>
      <w:proofErr w:type="gramEnd"/>
      <w:r w:rsidRPr="00AC653F">
        <w:rPr>
          <w:rFonts w:ascii="標楷體" w:eastAsia="標楷體" w:hAnsi="標楷體" w:hint="eastAsia"/>
          <w:color w:val="000000" w:themeColor="text1"/>
          <w:szCs w:val="24"/>
        </w:rPr>
        <w:t>者，得經法官會議同意，</w:t>
      </w:r>
      <w:proofErr w:type="gramStart"/>
      <w:r w:rsidRPr="00AC653F">
        <w:rPr>
          <w:rFonts w:ascii="標楷體" w:eastAsia="標楷體" w:hAnsi="標楷體" w:hint="eastAsia"/>
          <w:color w:val="000000" w:themeColor="text1"/>
          <w:szCs w:val="24"/>
        </w:rPr>
        <w:t>輪分民</w:t>
      </w:r>
      <w:proofErr w:type="gramEnd"/>
      <w:r w:rsidRPr="00AC653F">
        <w:rPr>
          <w:rFonts w:ascii="標楷體" w:eastAsia="標楷體" w:hAnsi="標楷體" w:hint="eastAsia"/>
          <w:color w:val="000000" w:themeColor="text1"/>
          <w:szCs w:val="24"/>
        </w:rPr>
        <w:t>、</w:t>
      </w:r>
      <w:proofErr w:type="gramStart"/>
      <w:r w:rsidRPr="00AC653F">
        <w:rPr>
          <w:rFonts w:ascii="標楷體" w:eastAsia="標楷體" w:hAnsi="標楷體" w:hint="eastAsia"/>
          <w:color w:val="000000" w:themeColor="text1"/>
          <w:szCs w:val="24"/>
        </w:rPr>
        <w:t>刑庭各股</w:t>
      </w:r>
      <w:proofErr w:type="gramEnd"/>
      <w:r w:rsidRPr="00AC653F">
        <w:rPr>
          <w:rFonts w:ascii="標楷體" w:eastAsia="標楷體" w:hAnsi="標楷體" w:hint="eastAsia"/>
          <w:color w:val="000000" w:themeColor="text1"/>
          <w:szCs w:val="24"/>
        </w:rPr>
        <w:t>或各該專股法官辦理：</w:t>
      </w:r>
    </w:p>
    <w:p w:rsidR="001A7A7B" w:rsidRPr="00AC653F" w:rsidRDefault="001A7A7B" w:rsidP="001A7A7B">
      <w:pPr>
        <w:ind w:left="480" w:hangingChars="200" w:hanging="480"/>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一、因法官未續留本院，致未能繼續辦理第一項之案件。</w:t>
      </w:r>
    </w:p>
    <w:p w:rsidR="001A7A7B" w:rsidRPr="00AC653F" w:rsidRDefault="001A7A7B" w:rsidP="001A7A7B">
      <w:pPr>
        <w:ind w:left="480" w:hangingChars="200" w:hanging="480"/>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二、因特殊情形，接辦或繼續辦理第一項之案件顯失公平者。</w:t>
      </w:r>
    </w:p>
    <w:p w:rsidR="001A7A7B" w:rsidRPr="00AC653F" w:rsidRDefault="001A7A7B" w:rsidP="001A7A7B">
      <w:pPr>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法官辦理民、刑事審判未終結案件超過其申請更動其承辦事務當月前六</w:t>
      </w:r>
      <w:proofErr w:type="gramStart"/>
      <w:r w:rsidRPr="00AC653F">
        <w:rPr>
          <w:rFonts w:ascii="標楷體" w:eastAsia="標楷體" w:hAnsi="標楷體" w:hint="eastAsia"/>
          <w:color w:val="000000" w:themeColor="text1"/>
          <w:szCs w:val="24"/>
        </w:rPr>
        <w:t>個</w:t>
      </w:r>
      <w:proofErr w:type="gramEnd"/>
      <w:r w:rsidRPr="00AC653F">
        <w:rPr>
          <w:rFonts w:ascii="標楷體" w:eastAsia="標楷體" w:hAnsi="標楷體" w:hint="eastAsia"/>
          <w:color w:val="000000" w:themeColor="text1"/>
          <w:szCs w:val="24"/>
        </w:rPr>
        <w:t>月內民、</w:t>
      </w:r>
      <w:proofErr w:type="gramStart"/>
      <w:r w:rsidRPr="00AC653F">
        <w:rPr>
          <w:rFonts w:ascii="標楷體" w:eastAsia="標楷體" w:hAnsi="標楷體" w:hint="eastAsia"/>
          <w:color w:val="000000" w:themeColor="text1"/>
          <w:szCs w:val="24"/>
        </w:rPr>
        <w:t>刑事庭各股</w:t>
      </w:r>
      <w:proofErr w:type="gramEnd"/>
      <w:r w:rsidRPr="00AC653F">
        <w:rPr>
          <w:rFonts w:ascii="標楷體" w:eastAsia="標楷體" w:hAnsi="標楷體" w:hint="eastAsia"/>
          <w:color w:val="000000" w:themeColor="text1"/>
          <w:szCs w:val="24"/>
        </w:rPr>
        <w:t>（以全股計算）未結案件之月平均數（最高、最低二股除外之平均數為基準）三分之一，或依第一項之規定，應繼續辦理之案件超過二十件者，得不予更動其承辦之事務。</w:t>
      </w:r>
    </w:p>
    <w:p w:rsidR="001A7A7B" w:rsidRPr="00AC653F" w:rsidRDefault="001A7A7B" w:rsidP="001A7A7B">
      <w:pPr>
        <w:contextualSpacing/>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法官如有</w:t>
      </w:r>
      <w:proofErr w:type="gramStart"/>
      <w:r w:rsidRPr="00AC653F">
        <w:rPr>
          <w:rFonts w:ascii="標楷體" w:eastAsia="標楷體" w:hAnsi="標楷體" w:hint="eastAsia"/>
          <w:color w:val="000000" w:themeColor="text1"/>
          <w:szCs w:val="24"/>
        </w:rPr>
        <w:t>申請院際調動</w:t>
      </w:r>
      <w:proofErr w:type="gramEnd"/>
      <w:r w:rsidRPr="00AC653F">
        <w:rPr>
          <w:rFonts w:ascii="標楷體" w:eastAsia="標楷體" w:hAnsi="標楷體" w:hint="eastAsia"/>
          <w:color w:val="000000" w:themeColor="text1"/>
          <w:szCs w:val="24"/>
        </w:rPr>
        <w:t>時，其辦理民、刑事審判未終結案件超過其</w:t>
      </w:r>
      <w:proofErr w:type="gramStart"/>
      <w:r w:rsidRPr="00AC653F">
        <w:rPr>
          <w:rFonts w:ascii="標楷體" w:eastAsia="標楷體" w:hAnsi="標楷體" w:hint="eastAsia"/>
          <w:color w:val="000000" w:themeColor="text1"/>
          <w:szCs w:val="24"/>
        </w:rPr>
        <w:t>申請院際調動</w:t>
      </w:r>
      <w:proofErr w:type="gramEnd"/>
      <w:r w:rsidRPr="00AC653F">
        <w:rPr>
          <w:rFonts w:ascii="標楷體" w:eastAsia="標楷體" w:hAnsi="標楷體" w:hint="eastAsia"/>
          <w:color w:val="000000" w:themeColor="text1"/>
          <w:szCs w:val="24"/>
        </w:rPr>
        <w:t>當月前六</w:t>
      </w:r>
      <w:proofErr w:type="gramStart"/>
      <w:r w:rsidRPr="00AC653F">
        <w:rPr>
          <w:rFonts w:ascii="標楷體" w:eastAsia="標楷體" w:hAnsi="標楷體" w:hint="eastAsia"/>
          <w:color w:val="000000" w:themeColor="text1"/>
          <w:szCs w:val="24"/>
        </w:rPr>
        <w:t>個</w:t>
      </w:r>
      <w:proofErr w:type="gramEnd"/>
      <w:r w:rsidRPr="00AC653F">
        <w:rPr>
          <w:rFonts w:ascii="標楷體" w:eastAsia="標楷體" w:hAnsi="標楷體" w:hint="eastAsia"/>
          <w:color w:val="000000" w:themeColor="text1"/>
          <w:szCs w:val="24"/>
        </w:rPr>
        <w:t>月內民、</w:t>
      </w:r>
      <w:proofErr w:type="gramStart"/>
      <w:r w:rsidRPr="00AC653F">
        <w:rPr>
          <w:rFonts w:ascii="標楷體" w:eastAsia="標楷體" w:hAnsi="標楷體" w:hint="eastAsia"/>
          <w:color w:val="000000" w:themeColor="text1"/>
          <w:szCs w:val="24"/>
        </w:rPr>
        <w:t>刑事庭各股</w:t>
      </w:r>
      <w:proofErr w:type="gramEnd"/>
      <w:r w:rsidRPr="00AC653F">
        <w:rPr>
          <w:rFonts w:ascii="標楷體" w:eastAsia="標楷體" w:hAnsi="標楷體" w:hint="eastAsia"/>
          <w:color w:val="000000" w:themeColor="text1"/>
          <w:szCs w:val="24"/>
        </w:rPr>
        <w:t>（以全股計算）未結案件之月平均數（最高、最低二股除外之平均數為基準）三分之一，或依第一項之規定，應繼續辦理之案件超過二十件者，</w:t>
      </w:r>
      <w:proofErr w:type="gramStart"/>
      <w:r w:rsidRPr="00AC653F">
        <w:rPr>
          <w:rFonts w:ascii="標楷體" w:eastAsia="標楷體" w:hAnsi="標楷體" w:hint="eastAsia"/>
          <w:color w:val="000000" w:themeColor="text1"/>
          <w:szCs w:val="24"/>
        </w:rPr>
        <w:t>院長得建請</w:t>
      </w:r>
      <w:proofErr w:type="gramEnd"/>
      <w:r w:rsidRPr="00AC653F">
        <w:rPr>
          <w:rFonts w:ascii="標楷體" w:eastAsia="標楷體" w:hAnsi="標楷體" w:hint="eastAsia"/>
          <w:color w:val="000000" w:themeColor="text1"/>
          <w:szCs w:val="24"/>
        </w:rPr>
        <w:t>司法院考慮停止</w:t>
      </w:r>
      <w:proofErr w:type="gramStart"/>
      <w:r w:rsidRPr="00AC653F">
        <w:rPr>
          <w:rFonts w:ascii="標楷體" w:eastAsia="標楷體" w:hAnsi="標楷體" w:hint="eastAsia"/>
          <w:color w:val="000000" w:themeColor="text1"/>
          <w:szCs w:val="24"/>
        </w:rPr>
        <w:t>其院際間</w:t>
      </w:r>
      <w:proofErr w:type="gramEnd"/>
      <w:r w:rsidRPr="00AC653F">
        <w:rPr>
          <w:rFonts w:ascii="標楷體" w:eastAsia="標楷體" w:hAnsi="標楷體" w:hint="eastAsia"/>
          <w:color w:val="000000" w:themeColor="text1"/>
          <w:szCs w:val="24"/>
        </w:rPr>
        <w:t>之調動。</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除權判決事件之案件數，不計入前項</w:t>
      </w:r>
      <w:proofErr w:type="gramStart"/>
      <w:r w:rsidRPr="00AC653F">
        <w:rPr>
          <w:rFonts w:ascii="標楷體" w:eastAsia="標楷體" w:hAnsi="標楷體" w:hint="eastAsia"/>
          <w:color w:val="000000" w:themeColor="text1"/>
          <w:szCs w:val="24"/>
        </w:rPr>
        <w:t>未結件數</w:t>
      </w:r>
      <w:proofErr w:type="gramEnd"/>
      <w:r w:rsidRPr="00AC653F">
        <w:rPr>
          <w:rFonts w:ascii="標楷體" w:eastAsia="標楷體" w:hAnsi="標楷體" w:hint="eastAsia"/>
          <w:color w:val="000000" w:themeColor="text1"/>
          <w:szCs w:val="24"/>
        </w:rPr>
        <w:t>。</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第十一條</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本院法官司法事務分配小組，院長為當然代表。代表之產生，除院長外，其餘三分之二由全體法官以各類庭別為族群，抽籤方式產生；另三分之一由院長指定。但不得連任。</w:t>
      </w:r>
    </w:p>
    <w:p w:rsidR="001A7A7B" w:rsidRPr="00AC653F" w:rsidRDefault="001A7A7B" w:rsidP="001A7A7B">
      <w:pPr>
        <w:contextualSpacing/>
        <w:jc w:val="both"/>
        <w:rPr>
          <w:rFonts w:ascii="標楷體" w:eastAsia="標楷體" w:hAnsi="標楷體"/>
          <w:color w:val="000000" w:themeColor="text1"/>
          <w:szCs w:val="24"/>
        </w:rPr>
      </w:pPr>
      <w:r w:rsidRPr="00AC653F">
        <w:rPr>
          <w:rFonts w:ascii="標楷體" w:eastAsia="標楷體" w:hAnsi="標楷體" w:hint="eastAsia"/>
          <w:color w:val="000000" w:themeColor="text1"/>
          <w:szCs w:val="24"/>
        </w:rPr>
        <w:t>本院法官司法事務分配小組應於法官年度事務分配會議前十日提出第四條所定之議案，由法官會議決之。</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法官司法事務分配小組會議，以院長為主席，應有法官代表三分之二出席始得決議。其決議</w:t>
      </w:r>
      <w:proofErr w:type="gramStart"/>
      <w:r w:rsidRPr="00AC653F">
        <w:rPr>
          <w:rFonts w:ascii="標楷體" w:eastAsia="標楷體" w:hAnsi="標楷體" w:hint="eastAsia"/>
          <w:color w:val="000000" w:themeColor="text1"/>
          <w:szCs w:val="24"/>
        </w:rPr>
        <w:t>採</w:t>
      </w:r>
      <w:proofErr w:type="gramEnd"/>
      <w:r w:rsidRPr="00AC653F">
        <w:rPr>
          <w:rFonts w:ascii="標楷體" w:eastAsia="標楷體" w:hAnsi="標楷體" w:hint="eastAsia"/>
          <w:color w:val="000000" w:themeColor="text1"/>
          <w:szCs w:val="24"/>
        </w:rPr>
        <w:t>多數決，可否同數時，取決於主席。</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第十二條</w:t>
      </w:r>
      <w:bookmarkStart w:id="0" w:name="_GoBack"/>
      <w:bookmarkEnd w:id="0"/>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法官年度事務分配議案，以法官二分之一以上之出席，出席法官過半數之同意定之。可否同數時取決於主席。</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第十三條</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本要點之修正或廢止，由全體法官八分之一以上提案，院長應召開法官會議，經全體法官二分之一以上出席，出席法官三分之二以上之同意行之。</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第十四條</w:t>
      </w:r>
    </w:p>
    <w:p w:rsidR="001A7A7B" w:rsidRPr="00AC653F" w:rsidRDefault="001A7A7B" w:rsidP="001A7A7B">
      <w:pPr>
        <w:rPr>
          <w:rFonts w:ascii="標楷體" w:eastAsia="標楷體" w:hAnsi="標楷體"/>
          <w:color w:val="000000" w:themeColor="text1"/>
          <w:szCs w:val="24"/>
        </w:rPr>
      </w:pPr>
      <w:r w:rsidRPr="00AC653F">
        <w:rPr>
          <w:rFonts w:ascii="標楷體" w:eastAsia="標楷體" w:hAnsi="標楷體" w:hint="eastAsia"/>
          <w:color w:val="000000" w:themeColor="text1"/>
          <w:szCs w:val="24"/>
        </w:rPr>
        <w:t>前二條之會議，法官因故不能出席，得出具委託書委託其他法官代理出席，但每一法官受託代理以一人為限。且委託代理出席人數，不得逾出席人數三分之一。</w:t>
      </w:r>
    </w:p>
    <w:p w:rsidR="001A7A7B" w:rsidRPr="00AC653F" w:rsidRDefault="001A7A7B" w:rsidP="001A7A7B">
      <w:pPr>
        <w:contextualSpacing/>
        <w:jc w:val="both"/>
        <w:rPr>
          <w:rFonts w:ascii="標楷體" w:eastAsia="標楷體" w:hAnsi="標楷體"/>
          <w:b/>
          <w:color w:val="000000" w:themeColor="text1"/>
          <w:szCs w:val="24"/>
        </w:rPr>
      </w:pPr>
      <w:r w:rsidRPr="00AC653F">
        <w:rPr>
          <w:rFonts w:ascii="標楷體" w:eastAsia="標楷體" w:hAnsi="標楷體" w:hint="eastAsia"/>
          <w:b/>
          <w:color w:val="000000" w:themeColor="text1"/>
          <w:szCs w:val="24"/>
        </w:rPr>
        <w:t>第十五條</w:t>
      </w:r>
    </w:p>
    <w:p w:rsidR="001A7A7B" w:rsidRPr="00AC653F" w:rsidRDefault="001A7A7B" w:rsidP="001A7A7B">
      <w:pPr>
        <w:rPr>
          <w:rFonts w:hint="eastAsia"/>
          <w:color w:val="000000" w:themeColor="text1"/>
        </w:rPr>
      </w:pPr>
      <w:r w:rsidRPr="00AC653F">
        <w:rPr>
          <w:rFonts w:ascii="標楷體" w:eastAsia="標楷體" w:hAnsi="標楷體" w:hint="eastAsia"/>
          <w:color w:val="000000" w:themeColor="text1"/>
          <w:szCs w:val="24"/>
        </w:rPr>
        <w:t>本要點經法官會議議決修正通過後施行。</w:t>
      </w:r>
    </w:p>
    <w:sectPr w:rsidR="001A7A7B" w:rsidRPr="00AC65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10A"/>
    <w:multiLevelType w:val="hybridMultilevel"/>
    <w:tmpl w:val="DF6244E4"/>
    <w:lvl w:ilvl="0" w:tplc="3C24A4E8">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1A7A7B"/>
    <w:rsid w:val="0084559E"/>
    <w:rsid w:val="00AC6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E0A0"/>
  <w15:chartTrackingRefBased/>
  <w15:docId w15:val="{BB66A366-BD5D-4E9A-8AEC-DB527998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7A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曾鴻文</dc:creator>
  <cp:keywords/>
  <dc:description/>
  <cp:lastModifiedBy>曾鴻文</cp:lastModifiedBy>
  <cp:revision>2</cp:revision>
  <dcterms:created xsi:type="dcterms:W3CDTF">2021-08-25T04:13:00Z</dcterms:created>
  <dcterms:modified xsi:type="dcterms:W3CDTF">2021-08-25T04:22:00Z</dcterms:modified>
</cp:coreProperties>
</file>